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431dbd71474642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8043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DOM ZA STARIJE OSOBE DUBRAVA - ZAGREB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4.052.550,70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4.631.267,52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4.009.093,02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4.972.247,65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340.980,13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104.340,09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54.480,56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104.340,09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53.630,56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51,4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60.882,41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394.610,69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648,2</w:t>
            </w:r>
          </w:p>
        </w:tc>
      </w:tr>
    </w:tbl>
    <w:p>
      <w:pPr>
        <w:spacing w:before="0" w:after="0"/>
      </w:pPr>
    </w:p>
    <w:p>
      <w:r>
        <w:t xml:space="preserve">Dom za starije osobe Dubrava – Zagreb, Milovana Gavazzija 26, osnovan je Odlukom Skupštine grada Zagreba i počeo je s radom 1969. Dom ima podružnicu u Markuševcu, na lokaciji Štefanovec 170. U Domu je smješteno 131 korisnik i kapacitet je popunjen. Podužnica u Markuševcu ima kapacitet za 92 korisnika i isti je popunjen. Radi obavljanja djelatnosti Doma organiziraju se sljedeće organizacijske jedinice, i to:</w:t>
      </w:r>
    </w:p>
    <w:p>
      <w:r>
        <w:t xml:space="preserve">Dom za starije osobe Dubrava – Zagreb, sjedište, lokacija Milovana Gavazzija 26</w:t>
      </w:r>
    </w:p>
    <w:p>
      <w:r>
        <w:t xml:space="preserve">1. Odjel socijalnog rada i izvaninstitucijskih usluga</w:t>
      </w:r>
    </w:p>
    <w:p>
      <w:r>
        <w:t xml:space="preserve">2. Odjel zdravstvene njege i brige o zdravlju</w:t>
      </w:r>
    </w:p>
    <w:p>
      <w:r>
        <w:t xml:space="preserve">3. Odjel pomoćno-tehničkih poslova</w:t>
      </w:r>
    </w:p>
    <w:p>
      <w:r>
        <w:t xml:space="preserve">4. Odjel prehrane</w:t>
      </w:r>
    </w:p>
    <w:p>
      <w:r>
        <w:t xml:space="preserve">5. Odjel općih i financijskih poslova</w:t>
      </w:r>
    </w:p>
    <w:p>
      <w:r>
        <w:t xml:space="preserve">Dom za starije osobe Dubrava – Zagreb, Podružnica Markuševec, na lokaciji Štefanovec 170                              </w:t>
      </w:r>
    </w:p>
    <w:p>
      <w:r>
        <w:t xml:space="preserve">1. Odjel socijalnog rada i izvaninstitucijskih usluga</w:t>
      </w:r>
    </w:p>
    <w:p>
      <w:r>
        <w:t xml:space="preserve">2. Odjel zdravstvene njege i brige o zdravlju</w:t>
      </w:r>
    </w:p>
    <w:p>
      <w:r>
        <w:t xml:space="preserve">3. Odjel prehrane i pomoćno-tehničkih poslova </w:t>
      </w:r>
    </w:p>
    <w:p>
      <w:r>
        <w:t xml:space="preserve">Prostor Doma sastoji se od 1900 m² stambenog prostora,  950 m² prostora jedinice za pojačanu njegu i 1650 m² ostalog prostora te ima 51 jednokrevetnu i 12 dvokrevetnih soba na stambenom dijelu i 25 jednokrevetnih i 12 dvokrevetnih na jedinici za pojačanu njegu.  </w:t>
      </w:r>
    </w:p>
    <w:p>
      <w:r>
        <w:t xml:space="preserve">Osim usluge smještaja za starije osobe, Dom Dubrava provodi i program i aktivnosti projekta Gerontološki centar koji je prvenstveno namijenjen starijim osobama koje nisu uključene u sustav institucijskog zbrinjavanja. Projekt omogućava besplatno korištenje niza socijalnih usluga, što im omogućava veću uključenost i poboljšanje sadržaja života osobama starije životne dobi. Podružnica ima 36 jednokrevetnih i 28 dvokrevetnih soba.</w:t>
      </w:r>
    </w:p>
    <w:p>
      <w:r>
        <w:t xml:space="preserve">Ukupni rashodi u iznosu od 5.026.728,21 € i ukupni prihodi ostvareni u iznosu od 4.632.117,52 € daju rezultat godine manjak prihoda poslovanja od 394.610,69 €. Obzirom da imamo preneseni višak prihoda poslovanja iz prethodne godine u iznosu od 80.624,93 € </w:t>
      </w:r>
      <w:r>
        <w:rPr>
          <w:b/>
        </w:rPr>
        <w:t xml:space="preserve">konačni rezultat poslovanja iznosi manjak prihoda poslovanja od 313.985,76 €.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4.052.550,70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4.631.267,52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114,3</w:t>
            </w:r>
          </w:p>
        </w:tc>
      </w:tr>
    </w:tbl>
    <w:p>
      <w:pPr>
        <w:spacing w:before="0" w:after="0"/>
      </w:pPr>
    </w:p>
    <w:p>
      <w:r>
        <w:t xml:space="preserve">Sveukupni prihodi poslovanja iskazani na šifri 6 ostvareni su u iznosu 4.631.267,52 € i veći su za 14 % u odnosu na prethodnu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18.355,95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6.193,94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33,7</w:t>
            </w:r>
          </w:p>
        </w:tc>
      </w:tr>
    </w:tbl>
    <w:p>
      <w:pPr>
        <w:spacing w:before="0" w:after="0"/>
      </w:pPr>
    </w:p>
    <w:p>
      <w:r>
        <w:t xml:space="preserve">Prihodi na šifri 63 iznose 6.193,94 € i manji su za 66 % od prihoda iz prošle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1.649.476,69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1.839.224,31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111,5</w:t>
            </w:r>
          </w:p>
        </w:tc>
      </w:tr>
    </w:tbl>
    <w:p>
      <w:pPr>
        <w:spacing w:before="0" w:after="0"/>
      </w:pPr>
    </w:p>
    <w:p>
      <w:r>
        <w:t xml:space="preserve">Prihodi od upravnih i administrativnih pristojbi, pristojbi po posebnim propisima iskazani na šifri 65 iznose 1.839.224,31 € i veći su za 10 % u odnosu na prethodnu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22.203,00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18.508,00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83,4</w:t>
            </w:r>
          </w:p>
        </w:tc>
      </w:tr>
    </w:tbl>
    <w:p>
      <w:pPr>
        <w:spacing w:before="0" w:after="0"/>
      </w:pPr>
    </w:p>
    <w:p>
      <w:r>
        <w:t xml:space="preserve">Prihodi iskazani na šifri 66 iznose 18.508,00 € i manji su za 17 % u odnosu na prethodno razdoblje.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2.362.515,06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2.767.011,27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117,1</w:t>
            </w:r>
          </w:p>
        </w:tc>
      </w:tr>
    </w:tbl>
    <w:p>
      <w:pPr>
        <w:spacing w:before="0" w:after="0"/>
      </w:pPr>
    </w:p>
    <w:p>
      <w:r>
        <w:t xml:space="preserve">Prihodi iz nadležnog proračuna, šifra 67 iznose 2.767.011,27 € te su veći za 17 % u odnosu na prethodnu godinu zbog više doznačenih sredstava iz proračuna Grada Zagreba.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4.009.093,02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4.972.247,65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124,0</w:t>
            </w:r>
          </w:p>
        </w:tc>
      </w:tr>
    </w:tbl>
    <w:p>
      <w:pPr>
        <w:spacing w:before="0" w:after="0"/>
      </w:pPr>
    </w:p>
    <w:p>
      <w:r>
        <w:t xml:space="preserve">Rashodi na šifri 3 iznose 4.972.247,65 € i veći su za 24 % u odnosu na prethodno razdoblje zbog  povećanja rashoda za zaposlene.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2.976.058,50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3.855.364,04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129,5</w:t>
            </w:r>
          </w:p>
        </w:tc>
      </w:tr>
    </w:tbl>
    <w:p>
      <w:pPr>
        <w:spacing w:before="0" w:after="0"/>
      </w:pPr>
    </w:p>
    <w:p>
      <w:r>
        <w:t xml:space="preserve">Rashodi za zaposlene pod šifrom 31 iznose 3.855.364,04 € i veći su za 29 % zbog povećanja osnovice za izračun plaće.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967.698,93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1.111.565,57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114,9</w:t>
            </w:r>
          </w:p>
        </w:tc>
      </w:tr>
    </w:tbl>
    <w:p>
      <w:pPr>
        <w:spacing w:before="0" w:after="0"/>
      </w:pPr>
    </w:p>
    <w:p>
      <w:r>
        <w:t xml:space="preserve">Materijalni rashodi na šifri 32 iznose 1.111.565,57 € i veći su za 15 % zbog povećanja cijena dobavljača.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rashodi (šifre 341+342+343)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3.482,33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3.143,04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90,3</w:t>
            </w:r>
          </w:p>
        </w:tc>
      </w:tr>
    </w:tbl>
    <w:p>
      <w:pPr>
        <w:spacing w:before="0" w:after="0"/>
      </w:pPr>
    </w:p>
    <w:p>
      <w:r>
        <w:t xml:space="preserve">Na šifri 34 financijski rashodi su 3.143,04 € i manji su za 10 %.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na temelju osiguranja i druge naknade (šifre 371+372)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61.523,26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2.175,00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3,5</w:t>
            </w:r>
          </w:p>
        </w:tc>
      </w:tr>
    </w:tbl>
    <w:p>
      <w:pPr>
        <w:spacing w:before="0" w:after="0"/>
      </w:pPr>
    </w:p>
    <w:p>
      <w:r>
        <w:t xml:space="preserve">Rashodi iskazani na šifri 37 iznose 2.175,00 € i manji su za 96 %.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rashodi poslovanja (šifre 3-Z003+Z004)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4.009.093,02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4.972.247,65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124,0</w:t>
            </w:r>
          </w:p>
        </w:tc>
      </w:tr>
    </w:tbl>
    <w:p>
      <w:pPr>
        <w:spacing w:before="0" w:after="0"/>
      </w:pPr>
    </w:p>
    <w:p>
      <w:r>
        <w:t xml:space="preserve">Rashodi na šifri Z005 iznose 4.972.247,65 € i veći su za 24 % u odnosu na prethodno razdoblje zbog  povećanja rashoda za zaposlene i materijalnih rashoda.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proizvedene dugotrajne imovine (šifre 721+722+723+724+725+726)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poziciji 72 ostvareni su prihodi od prodaje vozila.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104.340,09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54.480,56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52,2</w:t>
            </w:r>
          </w:p>
        </w:tc>
      </w:tr>
    </w:tbl>
    <w:p>
      <w:pPr>
        <w:spacing w:before="0" w:after="0"/>
      </w:pPr>
    </w:p>
    <w:p>
      <w:r>
        <w:t xml:space="preserve">Na šifri 4 rashodi za nabavu nefinancijske imovine iznose 54.480,56 € i manji su za 48 %.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proizvedene dugotrajne imovine (šifre 421+422+423+424+425+426)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104.340,09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54.480,56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52,2</w:t>
            </w:r>
          </w:p>
        </w:tc>
      </w:tr>
    </w:tbl>
    <w:p>
      <w:pPr>
        <w:spacing w:before="0" w:after="0"/>
      </w:pPr>
    </w:p>
    <w:p>
      <w:r>
        <w:t xml:space="preserve">Na šifri 42 rashodi za nabavu proizvedene dugotrajne imovine iznose 54.480,56 € i manji su za 48 %, zbog manje nabavljene dugotrajne imovine.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 (šifre '021 i 02921' + '022 i 02922' + '023 i 02923' + '024 i 02924' + '025 i 02925' + '026 i 02926')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582.685,10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572.560,79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98,3</w:t>
            </w:r>
          </w:p>
        </w:tc>
      </w:tr>
    </w:tbl>
    <w:p>
      <w:pPr>
        <w:spacing w:before="0" w:after="0"/>
      </w:pPr>
    </w:p>
    <w:p>
      <w:r>
        <w:t xml:space="preserve">Vrijednost nefinancijske imovine na dan 31. 12. 2025. godine, šifra 02, iznosi 572.560,79 €.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 i 02921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Građevinski objekti (šifre 0211 do 0214 - 02921)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 i 02921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378.768,19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368.479,84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97,3</w:t>
            </w:r>
          </w:p>
        </w:tc>
      </w:tr>
    </w:tbl>
    <w:p>
      <w:pPr>
        <w:spacing w:before="0" w:after="0"/>
      </w:pPr>
    </w:p>
    <w:p>
      <w:r>
        <w:t xml:space="preserve">Vrijednost građevinskih objekata na kraju izvještajnog razdoblja za 2025. godinu iznosi 368.479,84 €.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 i 02922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Postrojenja i oprema (šifre 0221 do 0228 - 02922)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 i 02922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164.594,64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146.305,22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88,9</w:t>
            </w:r>
          </w:p>
        </w:tc>
      </w:tr>
    </w:tbl>
    <w:p>
      <w:pPr>
        <w:spacing w:before="0" w:after="0"/>
      </w:pPr>
    </w:p>
    <w:p>
      <w:r>
        <w:t xml:space="preserve">Vrijednost postrojenja i opreme iznosi 146.305,22 €.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023 i 02923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Prijevozna sredstva (šifre 0231 do 0234 - 02923)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023 i 02923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34.530,64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53.049,89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153,6</w:t>
            </w:r>
          </w:p>
        </w:tc>
      </w:tr>
    </w:tbl>
    <w:p>
      <w:pPr>
        <w:spacing w:before="0" w:after="0"/>
      </w:pPr>
    </w:p>
    <w:p>
      <w:r>
        <w:t xml:space="preserve">U 2025. godini nabavljeno je novo vozilo te na kraju izvještajnog razdoblja vrijednost prijevoznih sredstava iznosi 53.049,89 €, iskazano na šifri 023 i 02923.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026 i 02926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Nematerijalna proizvedena imovina (šifre 0261 do 0264 - 02926)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026 i 02926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4.791,63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4.725,84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98,6</w:t>
            </w:r>
          </w:p>
        </w:tc>
      </w:tr>
    </w:tbl>
    <w:p>
      <w:pPr>
        <w:spacing w:before="0" w:after="0"/>
      </w:pPr>
    </w:p>
    <w:p>
      <w:r>
        <w:t xml:space="preserve">Na šifri 026 i 02926 iskazana je vrijednost nematerijalne proizvedene imovine u iznosu 4.725,84 €.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Novac u banci i blagajni (šifre 111+112 do 114)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197.940,52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230.684,90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116,5</w:t>
            </w:r>
          </w:p>
        </w:tc>
      </w:tr>
    </w:tbl>
    <w:p>
      <w:pPr>
        <w:spacing w:before="0" w:after="0"/>
      </w:pPr>
    </w:p>
    <w:p>
      <w:r>
        <w:t xml:space="preserve">Na šifri 11 novac i banci i blagajni, na 31. 12. 2025. iznosi 230.684,90 €.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jamčevne pologe, od zaposlenih te za više plaćene poreze i ostalo (šifre 122 do 124 - 125 + 129)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3.764,43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12.940,52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343,8</w:t>
            </w:r>
          </w:p>
        </w:tc>
      </w:tr>
    </w:tbl>
    <w:p>
      <w:pPr>
        <w:spacing w:before="0" w:after="0"/>
      </w:pPr>
    </w:p>
    <w:p>
      <w:r>
        <w:t xml:space="preserve">Stanje potraživanja, šifra 12 iznosi 12.940,52 €.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(šifre 161 do 163 + 164 do 168-169)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69.368,75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14.352,44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20,7</w:t>
            </w:r>
          </w:p>
        </w:tc>
      </w:tr>
    </w:tbl>
    <w:p>
      <w:pPr>
        <w:spacing w:before="0" w:after="0"/>
      </w:pPr>
    </w:p>
    <w:p>
      <w:r>
        <w:t xml:space="preserve">Potraživanja za prihode poslovanja, iskazana na šifri 16 iznose 14.352,44 €, za većinu potraživanja očekujemo da će se naplatiti u 2026.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(šifre 23+24+25+26+27+29)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402.746,17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557.611,18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138,5</w:t>
            </w:r>
          </w:p>
        </w:tc>
      </w:tr>
    </w:tbl>
    <w:p>
      <w:pPr>
        <w:spacing w:before="0" w:after="0"/>
      </w:pPr>
    </w:p>
    <w:p>
      <w:r>
        <w:t xml:space="preserve">Stanje obveza na kraju izvještajnog razdoblja iznosi 557.611,18 €, od čega su dospjele obveze 112.976,40 €, a nedospjele 444.634,78 €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80.624,93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-313.985,76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-389,4</w:t>
            </w:r>
          </w:p>
        </w:tc>
      </w:tr>
    </w:tbl>
    <w:p>
      <w:pPr>
        <w:spacing w:before="0" w:after="0"/>
      </w:pPr>
    </w:p>
    <w:p>
      <w:r>
        <w:t xml:space="preserve">Šifra 922 iskazuje rezultat poslovne godine - manja prihoda poslovanja u iznosu od 313.985,76 €.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(šifre 961 do 963 + 964 do 968)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69.368,75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14.352,44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20,7</w:t>
            </w:r>
          </w:p>
        </w:tc>
      </w:tr>
    </w:tbl>
    <w:p>
      <w:pPr>
        <w:spacing w:before="0" w:after="0"/>
      </w:pPr>
    </w:p>
    <w:p>
      <w:r>
        <w:t xml:space="preserve">Na šifri 96 iskazani su obračunati prihodi poslovanja u iznosu od 14.352,44 €.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Socijalna zaštita (šifre 101+102+103+104+105+106+107+108+109)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4.113.433,11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5.026.728,21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122,2</w:t>
            </w:r>
          </w:p>
        </w:tc>
      </w:tr>
    </w:tbl>
    <w:p>
      <w:pPr>
        <w:spacing w:before="0" w:after="0"/>
      </w:pPr>
    </w:p>
    <w:p>
      <w:r>
        <w:t xml:space="preserve">Ukupni rashodi iznose 5.026.728,21 €, prema našoj djelatnosti spadaju u starost, šifra 10.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557.611,18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obveza na kraju izvještajnog razdoblja iznosi 557.611,18 €.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112.976,40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na 31. 12. 2025. godine iznosi 112.976,40 € i odnose se na obveze prema dobavljačima.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444.634,78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nedospjelih obveza na kraju godine iznosi 444.634,78 € i odnosi se na nedospjele obveze prema dobavljačima i za obračun plaće za 12. mjesec 2025., koji se isplaćuje u siječnju 2026. godine.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7aba5a3dbb4384" /></Relationships>
</file>