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6821DD4F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9173E4">
        <w:rPr>
          <w:rFonts w:ascii="Times New Roman" w:hAnsi="Times New Roman" w:cs="Times New Roman"/>
          <w:sz w:val="24"/>
          <w:szCs w:val="24"/>
        </w:rPr>
        <w:t>2305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09CA9570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173E4">
        <w:rPr>
          <w:rFonts w:ascii="Times New Roman" w:hAnsi="Times New Roman" w:cs="Times New Roman"/>
          <w:sz w:val="24"/>
          <w:szCs w:val="24"/>
        </w:rPr>
        <w:t>30</w:t>
      </w:r>
      <w:r w:rsidR="00680D74">
        <w:rPr>
          <w:rFonts w:ascii="Times New Roman" w:hAnsi="Times New Roman" w:cs="Times New Roman"/>
          <w:sz w:val="24"/>
          <w:szCs w:val="24"/>
        </w:rPr>
        <w:t>.4.2026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0C3D3B69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</w:t>
      </w:r>
      <w:r w:rsidR="009173E4">
        <w:rPr>
          <w:rFonts w:ascii="Times New Roman" w:eastAsia="Times New Roman" w:hAnsi="Times New Roman" w:cs="Times New Roman"/>
          <w:b/>
        </w:rPr>
        <w:t>KUHAR/ICA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prehrane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B81A68">
        <w:rPr>
          <w:rFonts w:ascii="Times New Roman" w:eastAsia="Times New Roman" w:hAnsi="Times New Roman" w:cs="Times New Roman"/>
        </w:rPr>
        <w:t>a</w:t>
      </w:r>
      <w:proofErr w:type="spellEnd"/>
      <w:r w:rsidR="00B81A68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924898" w:rsidRPr="008666E5">
        <w:rPr>
          <w:rFonts w:ascii="Times New Roman" w:eastAsia="Times New Roman" w:hAnsi="Times New Roman" w:cs="Times New Roman"/>
        </w:rPr>
        <w:t>na određeno vrijeme</w:t>
      </w:r>
      <w:r w:rsidR="009173E4">
        <w:rPr>
          <w:rFonts w:ascii="Times New Roman" w:eastAsia="Times New Roman" w:hAnsi="Times New Roman" w:cs="Times New Roman"/>
        </w:rPr>
        <w:t>, puno radno vrijeme</w:t>
      </w:r>
    </w:p>
    <w:p w14:paraId="14AF7DBF" w14:textId="65A9ABE9" w:rsidR="00A00A71" w:rsidRPr="009173E4" w:rsidRDefault="00A00A71" w:rsidP="00F76A5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Stručni uvjeti: </w:t>
      </w:r>
      <w:r w:rsidR="009173E4" w:rsidRPr="009173E4">
        <w:rPr>
          <w:rFonts w:ascii="Times New Roman" w:hAnsi="Times New Roman" w:cs="Times New Roman"/>
        </w:rPr>
        <w:t>Srednjoškolsko obrazovanje za kuhara/</w:t>
      </w:r>
      <w:proofErr w:type="spellStart"/>
      <w:r w:rsidR="009173E4" w:rsidRPr="009173E4">
        <w:rPr>
          <w:rFonts w:ascii="Times New Roman" w:hAnsi="Times New Roman" w:cs="Times New Roman"/>
        </w:rPr>
        <w:t>icu</w:t>
      </w:r>
      <w:proofErr w:type="spellEnd"/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50D0DD85" w14:textId="2E8B018A" w:rsidR="00381A37" w:rsidRDefault="00A00A71" w:rsidP="009173E4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5C6DB4F" w14:textId="77777777" w:rsidR="009173E4" w:rsidRPr="009173E4" w:rsidRDefault="009173E4" w:rsidP="009173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CDC1AC2" w14:textId="1612C8B0" w:rsidR="00FB0B84" w:rsidRPr="0082231A" w:rsidRDefault="006B688E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7800496C" w:rsidR="0022601D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3E0DB2A4" w14:textId="77777777" w:rsidR="009173E4" w:rsidRPr="0082231A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34C17E26" w14:textId="77777777" w:rsidR="009173E4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2FB7AF01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69A9D616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6F524" w14:textId="5B77362D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63CDC" w14:textId="78397599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6158D4" w14:textId="6499ACB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847B77" w14:textId="538175E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94C129" w14:textId="6DC31C1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A2C52" w14:textId="1423310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C173C" w14:textId="41B415CA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4BAAE" w14:textId="146A65F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D5F2B8" w14:textId="3ACD55B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DEAED" w14:textId="180A6EB3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459261" w14:textId="7F0D8CC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E533C" w14:textId="7D2BED6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F62A2" w14:textId="77777777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173E4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81A68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3</cp:revision>
  <cp:lastPrinted>2026-04-30T06:11:00Z</cp:lastPrinted>
  <dcterms:created xsi:type="dcterms:W3CDTF">2026-04-30T06:11:00Z</dcterms:created>
  <dcterms:modified xsi:type="dcterms:W3CDTF">2026-04-30T06:14:00Z</dcterms:modified>
</cp:coreProperties>
</file>