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5E8730C2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0A452E">
        <w:rPr>
          <w:rFonts w:ascii="Times New Roman" w:hAnsi="Times New Roman" w:cs="Times New Roman"/>
          <w:sz w:val="24"/>
          <w:szCs w:val="24"/>
        </w:rPr>
        <w:t>2754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7F4D9C8D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A452E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B17C05">
        <w:rPr>
          <w:rFonts w:ascii="Times New Roman" w:hAnsi="Times New Roman" w:cs="Times New Roman"/>
          <w:sz w:val="24"/>
          <w:szCs w:val="24"/>
        </w:rPr>
        <w:t>.5</w:t>
      </w:r>
      <w:r w:rsidR="004039E8">
        <w:rPr>
          <w:rFonts w:ascii="Times New Roman" w:hAnsi="Times New Roman" w:cs="Times New Roman"/>
          <w:sz w:val="24"/>
          <w:szCs w:val="24"/>
        </w:rPr>
        <w:t>.</w:t>
      </w:r>
      <w:r w:rsidR="00C4311E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E9357A" w14:textId="122D2137" w:rsidR="00A00A71" w:rsidRPr="0082231A" w:rsidRDefault="004039E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367146" w:rsidRPr="0082231A">
        <w:rPr>
          <w:rFonts w:ascii="Times New Roman" w:eastAsia="Times New Roman" w:hAnsi="Times New Roman" w:cs="Times New Roman"/>
          <w:b/>
        </w:rPr>
        <w:t xml:space="preserve"> </w:t>
      </w:r>
      <w:r w:rsidR="00924898" w:rsidRPr="0082231A">
        <w:rPr>
          <w:rFonts w:ascii="Times New Roman" w:eastAsia="Times New Roman" w:hAnsi="Times New Roman" w:cs="Times New Roman"/>
          <w:b/>
        </w:rPr>
        <w:t>NJEGOVATELJICA</w:t>
      </w:r>
      <w:r w:rsidR="0053323A" w:rsidRPr="0082231A">
        <w:rPr>
          <w:rFonts w:ascii="Times New Roman" w:eastAsia="Times New Roman" w:hAnsi="Times New Roman" w:cs="Times New Roman"/>
          <w:b/>
        </w:rPr>
        <w:t xml:space="preserve">, m/ž </w:t>
      </w:r>
      <w:r w:rsidR="00924898" w:rsidRPr="0082231A">
        <w:rPr>
          <w:rFonts w:ascii="Times New Roman" w:eastAsia="Times New Roman" w:hAnsi="Times New Roman" w:cs="Times New Roman"/>
        </w:rPr>
        <w:t>–</w:t>
      </w:r>
      <w:r w:rsidR="0053323A" w:rsidRPr="0082231A">
        <w:rPr>
          <w:rFonts w:ascii="Times New Roman" w:eastAsia="Times New Roman" w:hAnsi="Times New Roman" w:cs="Times New Roman"/>
        </w:rPr>
        <w:t xml:space="preserve">  u</w:t>
      </w:r>
      <w:r w:rsidR="00924898" w:rsidRPr="0082231A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Odjelu</w:t>
      </w:r>
      <w:r w:rsidR="0053323A" w:rsidRPr="0082231A">
        <w:rPr>
          <w:rFonts w:ascii="Times New Roman" w:eastAsia="Times New Roman" w:hAnsi="Times New Roman" w:cs="Times New Roman"/>
        </w:rPr>
        <w:t xml:space="preserve"> zdravstvene</w:t>
      </w:r>
      <w:r w:rsidR="00A00A71" w:rsidRPr="0082231A">
        <w:rPr>
          <w:rFonts w:ascii="Times New Roman" w:eastAsia="Times New Roman" w:hAnsi="Times New Roman" w:cs="Times New Roman"/>
        </w:rPr>
        <w:t xml:space="preserve"> 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– 1 izvršitelj/</w:t>
      </w:r>
      <w:proofErr w:type="spellStart"/>
      <w:r w:rsidR="00A00A71" w:rsidRPr="0082231A">
        <w:rPr>
          <w:rFonts w:ascii="Times New Roman" w:eastAsia="Times New Roman" w:hAnsi="Times New Roman" w:cs="Times New Roman"/>
        </w:rPr>
        <w:t>ica</w:t>
      </w:r>
      <w:proofErr w:type="spellEnd"/>
      <w:r w:rsidR="00A00A71" w:rsidRPr="0082231A">
        <w:rPr>
          <w:rFonts w:ascii="Times New Roman" w:eastAsia="Times New Roman" w:hAnsi="Times New Roman" w:cs="Times New Roman"/>
        </w:rPr>
        <w:t xml:space="preserve"> na </w:t>
      </w:r>
      <w:r w:rsidR="00C4311E">
        <w:rPr>
          <w:rFonts w:ascii="Times New Roman" w:eastAsia="Times New Roman" w:hAnsi="Times New Roman" w:cs="Times New Roman"/>
        </w:rPr>
        <w:t>ne</w:t>
      </w:r>
      <w:r w:rsidR="00A00A71" w:rsidRPr="0082231A">
        <w:rPr>
          <w:rFonts w:ascii="Times New Roman" w:eastAsia="Times New Roman" w:hAnsi="Times New Roman" w:cs="Times New Roman"/>
        </w:rPr>
        <w:t>određeno vrijeme</w:t>
      </w:r>
    </w:p>
    <w:p w14:paraId="7084783A" w14:textId="5DAA1443" w:rsidR="00A00A71" w:rsidRPr="0082231A" w:rsidRDefault="0053323A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</w:rPr>
        <w:t xml:space="preserve"> </w:t>
      </w:r>
    </w:p>
    <w:p w14:paraId="20DCA0D6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Stručni uvjeti: </w:t>
      </w:r>
      <w:r w:rsidRPr="0082231A">
        <w:rPr>
          <w:rFonts w:ascii="Times New Roman" w:hAnsi="Times New Roman" w:cs="Times New Roman"/>
        </w:rPr>
        <w:t>Završena osnovna škola i tečaj za njegovatelje/</w:t>
      </w:r>
      <w:proofErr w:type="spellStart"/>
      <w:r w:rsidRPr="0082231A">
        <w:rPr>
          <w:rFonts w:ascii="Times New Roman" w:hAnsi="Times New Roman" w:cs="Times New Roman"/>
        </w:rPr>
        <w:t>ice</w:t>
      </w:r>
      <w:proofErr w:type="spellEnd"/>
    </w:p>
    <w:p w14:paraId="4B12F15B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30C21211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 xml:space="preserve">poznavanje rada na računalu </w:t>
      </w:r>
    </w:p>
    <w:p w14:paraId="203BE022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Pr="0082231A">
        <w:rPr>
          <w:rFonts w:ascii="Times New Roman" w:hAnsi="Times New Roman" w:cs="Times New Roman"/>
        </w:rPr>
        <w:t>nije potrebno</w:t>
      </w:r>
    </w:p>
    <w:p w14:paraId="3412368B" w14:textId="5541600F" w:rsidR="00A00A71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Pr="0082231A">
        <w:rPr>
          <w:rFonts w:ascii="Times New Roman" w:hAnsi="Times New Roman" w:cs="Times New Roman"/>
        </w:rPr>
        <w:t>1 mjesec</w:t>
      </w: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73C37CB8" w14:textId="77777777" w:rsidR="00A00A71" w:rsidRPr="0082231A" w:rsidRDefault="00A00A71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685DC04" w14:textId="470BE4FB" w:rsidR="00017C6B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dostaviti i </w:t>
      </w:r>
      <w:r w:rsidR="0053323A" w:rsidRPr="0082231A">
        <w:rPr>
          <w:rFonts w:ascii="Times New Roman" w:hAnsi="Times New Roman" w:cs="Times New Roman"/>
          <w:sz w:val="24"/>
          <w:szCs w:val="24"/>
        </w:rPr>
        <w:t>uvjerenje</w:t>
      </w:r>
      <w:r w:rsidRPr="0082231A">
        <w:rPr>
          <w:rFonts w:ascii="Times New Roman" w:hAnsi="Times New Roman" w:cs="Times New Roman"/>
          <w:sz w:val="24"/>
          <w:szCs w:val="24"/>
        </w:rPr>
        <w:t xml:space="preserve"> o </w:t>
      </w:r>
      <w:r w:rsidR="0053323A" w:rsidRPr="0082231A">
        <w:rPr>
          <w:rFonts w:ascii="Times New Roman" w:hAnsi="Times New Roman" w:cs="Times New Roman"/>
          <w:sz w:val="24"/>
          <w:szCs w:val="24"/>
        </w:rPr>
        <w:t>izobrazbi za njegovatelja/</w:t>
      </w:r>
      <w:proofErr w:type="spellStart"/>
      <w:r w:rsidR="0053323A" w:rsidRPr="0082231A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53323A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2E5C4F38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57EF9C" w14:textId="16900C77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3AEE13" w14:textId="02CC1544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587451" w14:textId="5E73447B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71999" w14:textId="1C3DC02D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023DAA" w14:textId="590468E4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8CD45" w14:textId="33278CC2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4FCD44" w14:textId="03825491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F2EE42" w14:textId="37AB1A91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26F62E" w14:textId="03BF23D2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DF259" w14:textId="35D72FFA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585606" w14:textId="26E8F39B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D64977" w14:textId="24CD3100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DD8D83" w14:textId="448AC37D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7A77A4" w14:textId="674C9143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6DAA80" w14:textId="2D32F7AC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544F0A" w14:textId="1868E609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4DB1FA" w14:textId="3EB17AF8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C749F2" w14:textId="77777777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52E"/>
    <w:rsid w:val="000A4CA1"/>
    <w:rsid w:val="000F4A15"/>
    <w:rsid w:val="00107F43"/>
    <w:rsid w:val="0012564A"/>
    <w:rsid w:val="001544B4"/>
    <w:rsid w:val="00184B82"/>
    <w:rsid w:val="00190DE6"/>
    <w:rsid w:val="001917A8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039E8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17C05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2026-05-27T11:06:00Z</dcterms:created>
  <dcterms:modified xsi:type="dcterms:W3CDTF">2026-05-27T11:06:00Z</dcterms:modified>
</cp:coreProperties>
</file>